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04" w:rsidRPr="00245B04" w:rsidRDefault="00245B04" w:rsidP="00245B04">
      <w:pPr>
        <w:widowControl/>
        <w:spacing w:line="560" w:lineRule="exact"/>
        <w:jc w:val="center"/>
        <w:rPr>
          <w:rFonts w:ascii="宋体" w:eastAsia="宋体" w:hAnsi="宋体" w:cs="宋体"/>
          <w:color w:val="262626"/>
          <w:kern w:val="0"/>
          <w:sz w:val="24"/>
          <w:szCs w:val="24"/>
        </w:rPr>
      </w:pPr>
      <w:r w:rsidRPr="00245B04">
        <w:rPr>
          <w:rFonts w:asciiTheme="minorEastAsia" w:hAnsiTheme="minorEastAsia" w:cs="宋体" w:hint="eastAsia"/>
          <w:b/>
          <w:color w:val="000000"/>
          <w:kern w:val="0"/>
          <w:sz w:val="32"/>
        </w:rPr>
        <w:t>河 南农 业 大 学</w:t>
      </w:r>
    </w:p>
    <w:p w:rsidR="00245B04" w:rsidRPr="00245B04" w:rsidRDefault="00245B04" w:rsidP="00245B04">
      <w:pPr>
        <w:widowControl/>
        <w:spacing w:line="560" w:lineRule="exact"/>
        <w:jc w:val="center"/>
        <w:rPr>
          <w:rFonts w:ascii="宋体" w:eastAsia="宋体" w:hAnsi="宋体" w:cs="宋体"/>
          <w:color w:val="262626"/>
          <w:kern w:val="0"/>
          <w:sz w:val="24"/>
          <w:szCs w:val="24"/>
        </w:rPr>
      </w:pPr>
      <w:r w:rsidRPr="00245B04">
        <w:rPr>
          <w:rFonts w:asciiTheme="minorEastAsia" w:hAnsiTheme="minorEastAsia" w:cs="宋体" w:hint="eastAsia"/>
          <w:b/>
          <w:color w:val="000000"/>
          <w:spacing w:val="-12"/>
          <w:kern w:val="0"/>
          <w:sz w:val="32"/>
        </w:rPr>
        <w:t>优秀研究生国内外联合培养基金管理办法</w:t>
      </w:r>
    </w:p>
    <w:p w:rsidR="00245B04" w:rsidRPr="00245B04" w:rsidRDefault="00245B04" w:rsidP="00245B04">
      <w:pPr>
        <w:widowControl/>
        <w:spacing w:line="560" w:lineRule="exact"/>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 </w:t>
      </w:r>
      <w:r w:rsidRPr="00245B04">
        <w:rPr>
          <w:rFonts w:asciiTheme="minorEastAsia" w:hAnsiTheme="minorEastAsia" w:cs="宋体" w:hint="eastAsia"/>
          <w:color w:val="000000"/>
          <w:kern w:val="0"/>
          <w:sz w:val="28"/>
          <w:szCs w:val="28"/>
        </w:rPr>
        <w:t xml:space="preserve">    为帮助我校研究生拓宽学术视野，学习国内外先进的科学研究方法，参与国内外学术交流，提高研究生培养质量，特设立优秀研究生国内外联合培养基金，以资助优秀研究生到国内外著名高校和科研院所进行联合培养，并制定本管理办法。</w:t>
      </w:r>
    </w:p>
    <w:p w:rsidR="00245B04" w:rsidRPr="00245B04" w:rsidRDefault="00245B04" w:rsidP="00245B04">
      <w:pPr>
        <w:widowControl/>
        <w:spacing w:line="560" w:lineRule="exact"/>
        <w:ind w:firstLineChars="196" w:firstLine="551"/>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 xml:space="preserve">一、申请对象 </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在校全日制二年级研究生。</w:t>
      </w:r>
    </w:p>
    <w:p w:rsidR="00245B04" w:rsidRPr="00245B04" w:rsidRDefault="00245B04" w:rsidP="00245B04">
      <w:pPr>
        <w:widowControl/>
        <w:spacing w:line="560" w:lineRule="exact"/>
        <w:ind w:firstLineChars="196" w:firstLine="551"/>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二、申请条件</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1、热爱社会主义祖国，品德优良，身体健康。</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2、课程成绩优良，能如期完成学位论文工作，并具有从事创新性科学研究潜质与能力。到国外进行联合培养者应具有良好的外语交流能力。</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3、同等条件下，一级学科博士学位授权学科或学术论文已被国际、国内著名杂志、学术会议录用的研究生优先。</w:t>
      </w:r>
    </w:p>
    <w:p w:rsidR="00245B04" w:rsidRPr="00245B04" w:rsidRDefault="00245B04" w:rsidP="00245B04">
      <w:pPr>
        <w:widowControl/>
        <w:spacing w:line="560" w:lineRule="exact"/>
        <w:ind w:firstLineChars="196" w:firstLine="551"/>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三、资助名额、时间与额度</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学校鼓励导师支持研究生到国内外著名高校和科研院所进行联合培养。每年选拨优秀博士研究生5人左右、优秀硕士研究生7人左右，到国内外著名大学的重点学科、重点实验室和科研院所从事科学研究，时间为6～12个月。与国外联合培养资助额度为博士研究生每人1200 美元/月、硕士研究生每人1000美元/月，与国内联合培养资助额度为博士研究生每人3000元/月、硕士研究生每人2000元/月。</w:t>
      </w:r>
    </w:p>
    <w:p w:rsidR="00245B04" w:rsidRPr="00245B04" w:rsidRDefault="00245B04" w:rsidP="00245B04">
      <w:pPr>
        <w:widowControl/>
        <w:spacing w:line="560" w:lineRule="exact"/>
        <w:ind w:firstLineChars="196" w:firstLine="551"/>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 xml:space="preserve">四、申请程序 </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lastRenderedPageBreak/>
        <w:t>1、申请人提出申请，经导师同意后，填写《河南农业大学优秀研究生国内外联合培养申请表》。</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2、学院对申请人材料进行审核并报研究生处。</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 xml:space="preserve">3、研究生处组织专家进行评审，报校学术委员会审定，并在全校范围内公示。 </w:t>
      </w:r>
    </w:p>
    <w:p w:rsidR="00245B04" w:rsidRPr="00245B04" w:rsidRDefault="00245B04" w:rsidP="00245B04">
      <w:pPr>
        <w:widowControl/>
        <w:spacing w:line="560" w:lineRule="exact"/>
        <w:ind w:firstLineChars="196" w:firstLine="551"/>
        <w:jc w:val="left"/>
        <w:rPr>
          <w:rFonts w:ascii="宋体" w:eastAsia="宋体" w:hAnsi="宋体" w:cs="宋体"/>
          <w:color w:val="262626"/>
          <w:kern w:val="0"/>
          <w:sz w:val="24"/>
          <w:szCs w:val="24"/>
        </w:rPr>
      </w:pPr>
      <w:r w:rsidRPr="00245B04">
        <w:rPr>
          <w:rFonts w:asciiTheme="minorEastAsia" w:hAnsiTheme="minorEastAsia" w:cs="宋体" w:hint="eastAsia"/>
          <w:b/>
          <w:color w:val="000000"/>
          <w:kern w:val="0"/>
          <w:sz w:val="28"/>
        </w:rPr>
        <w:t>五、派出及管理</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1、研究生联合培养期间应定期向导师汇报研究进展情况。联合培养结束时应对研究工作进行总结，提交书面报告，并以河南农业大学为第一作者单位、本人为第一作者在国内外知名学术期刊上至少发表1篇SCI或SSCI收录的与学位论文研究内容相关的学术论文，论文累计影响因子≥3（SSCI≥2）；或至少2篇EI收录论文。我校研究生导师应负担研究生在培养期间所需的科研经费，校外合作导师应对研究生的研究成果、学术水平、工作能力等写出书面评语。</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2、确定被资助的研究生应自觉遵守法律和联合培养单位的规章制度，派出前必须与学校签订河南农业大学优秀研究生国内外联合培养协议书。</w:t>
      </w:r>
    </w:p>
    <w:p w:rsidR="00245B04" w:rsidRPr="00245B04" w:rsidRDefault="00245B04" w:rsidP="00245B04">
      <w:pPr>
        <w:widowControl/>
        <w:spacing w:line="560" w:lineRule="exact"/>
        <w:ind w:firstLineChars="196" w:firstLine="549"/>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3、按照规定的时间派出与返校，确因研究需要不能按照批准</w:t>
      </w:r>
    </w:p>
    <w:p w:rsidR="00245B04" w:rsidRPr="00245B04" w:rsidRDefault="00245B04" w:rsidP="00245B04">
      <w:pPr>
        <w:widowControl/>
        <w:spacing w:line="560" w:lineRule="exact"/>
        <w:jc w:val="left"/>
        <w:rPr>
          <w:rFonts w:ascii="宋体" w:eastAsia="宋体" w:hAnsi="宋体" w:cs="宋体"/>
          <w:color w:val="262626"/>
          <w:kern w:val="0"/>
          <w:sz w:val="24"/>
          <w:szCs w:val="24"/>
        </w:rPr>
      </w:pPr>
      <w:r w:rsidRPr="00245B04">
        <w:rPr>
          <w:rFonts w:asciiTheme="minorEastAsia" w:hAnsiTheme="minorEastAsia" w:cs="宋体" w:hint="eastAsia"/>
          <w:color w:val="000000"/>
          <w:kern w:val="0"/>
          <w:sz w:val="28"/>
          <w:szCs w:val="28"/>
        </w:rPr>
        <w:t>期限回校者，应提前 3个月向所在学院提出申请，由导师、所在学院提出初步意见并报研究生处，经研究生处批准后方可延长在外期限，延长期间学校不再提供资助。未经批准延长或未办理延长手续者，超过限期两周，即视为自动放弃学籍，并按违约处理。</w:t>
      </w:r>
    </w:p>
    <w:p w:rsidR="00245B04" w:rsidRPr="00245B04" w:rsidRDefault="00245B04" w:rsidP="00245B04">
      <w:pPr>
        <w:widowControl/>
        <w:spacing w:line="620" w:lineRule="exact"/>
        <w:jc w:val="center"/>
        <w:rPr>
          <w:rFonts w:ascii="宋体" w:eastAsia="宋体" w:hAnsi="宋体" w:cs="宋体"/>
          <w:color w:val="262626"/>
          <w:kern w:val="0"/>
          <w:sz w:val="24"/>
          <w:szCs w:val="24"/>
        </w:rPr>
      </w:pPr>
      <w:r w:rsidRPr="00245B04">
        <w:rPr>
          <w:rFonts w:ascii="Tahoma" w:eastAsia="仿宋_GB2312" w:hAnsi="Tahoma" w:cs="Tahoma" w:hint="eastAsia"/>
          <w:color w:val="000000"/>
          <w:kern w:val="0"/>
          <w:sz w:val="36"/>
          <w:szCs w:val="32"/>
        </w:rPr>
        <w:t> </w:t>
      </w:r>
    </w:p>
    <w:p w:rsidR="00245B04" w:rsidRPr="00245B04" w:rsidRDefault="00245B04" w:rsidP="00245B04">
      <w:pPr>
        <w:widowControl/>
        <w:spacing w:line="620" w:lineRule="exact"/>
        <w:jc w:val="center"/>
        <w:rPr>
          <w:rFonts w:ascii="宋体" w:eastAsia="宋体" w:hAnsi="宋体" w:cs="宋体"/>
          <w:color w:val="262626"/>
          <w:kern w:val="0"/>
          <w:sz w:val="24"/>
          <w:szCs w:val="24"/>
        </w:rPr>
      </w:pPr>
      <w:r w:rsidRPr="00245B04">
        <w:rPr>
          <w:rFonts w:ascii="Tahoma" w:eastAsia="仿宋_GB2312" w:hAnsi="Tahoma" w:cs="Tahoma" w:hint="eastAsia"/>
          <w:color w:val="000000"/>
          <w:kern w:val="0"/>
          <w:sz w:val="36"/>
          <w:szCs w:val="32"/>
        </w:rPr>
        <w:t> </w:t>
      </w:r>
    </w:p>
    <w:p w:rsidR="00245B04" w:rsidRPr="00245B04" w:rsidRDefault="00245B04" w:rsidP="00245B04">
      <w:pPr>
        <w:widowControl/>
        <w:spacing w:line="620" w:lineRule="exact"/>
        <w:jc w:val="center"/>
        <w:rPr>
          <w:rFonts w:ascii="宋体" w:eastAsia="宋体" w:hAnsi="宋体" w:cs="宋体"/>
          <w:color w:val="262626"/>
          <w:kern w:val="0"/>
          <w:sz w:val="24"/>
          <w:szCs w:val="24"/>
        </w:rPr>
      </w:pPr>
      <w:r w:rsidRPr="00245B04">
        <w:rPr>
          <w:rFonts w:ascii="Tahoma" w:eastAsia="仿宋_GB2312" w:hAnsi="Tahoma" w:cs="Tahoma" w:hint="eastAsia"/>
          <w:color w:val="000000"/>
          <w:kern w:val="0"/>
          <w:sz w:val="36"/>
          <w:szCs w:val="32"/>
        </w:rPr>
        <w:t> </w:t>
      </w:r>
    </w:p>
    <w:p w:rsidR="00705B5B" w:rsidRPr="00964FD6" w:rsidRDefault="00705B5B">
      <w:bookmarkStart w:id="0" w:name="_GoBack"/>
      <w:bookmarkEnd w:id="0"/>
    </w:p>
    <w:sectPr w:rsidR="00705B5B" w:rsidRPr="00964FD6" w:rsidSect="00705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280" w:rsidRDefault="00557280" w:rsidP="00964FD6">
      <w:pPr>
        <w:spacing w:line="240" w:lineRule="auto"/>
      </w:pPr>
      <w:r>
        <w:separator/>
      </w:r>
    </w:p>
  </w:endnote>
  <w:endnote w:type="continuationSeparator" w:id="0">
    <w:p w:rsidR="00557280" w:rsidRDefault="00557280" w:rsidP="00964F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280" w:rsidRDefault="00557280" w:rsidP="00964FD6">
      <w:pPr>
        <w:spacing w:line="240" w:lineRule="auto"/>
      </w:pPr>
      <w:r>
        <w:separator/>
      </w:r>
    </w:p>
  </w:footnote>
  <w:footnote w:type="continuationSeparator" w:id="0">
    <w:p w:rsidR="00557280" w:rsidRDefault="00557280" w:rsidP="00964FD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45B04"/>
    <w:rsid w:val="000050FA"/>
    <w:rsid w:val="00020975"/>
    <w:rsid w:val="000212CB"/>
    <w:rsid w:val="000218C3"/>
    <w:rsid w:val="00025507"/>
    <w:rsid w:val="00027754"/>
    <w:rsid w:val="000468D3"/>
    <w:rsid w:val="000503FF"/>
    <w:rsid w:val="00051CE0"/>
    <w:rsid w:val="0006109E"/>
    <w:rsid w:val="0006113D"/>
    <w:rsid w:val="00065EB9"/>
    <w:rsid w:val="000819CF"/>
    <w:rsid w:val="00090F4A"/>
    <w:rsid w:val="00096034"/>
    <w:rsid w:val="000B1E9F"/>
    <w:rsid w:val="000B2382"/>
    <w:rsid w:val="000B294F"/>
    <w:rsid w:val="000C221D"/>
    <w:rsid w:val="000C4BD4"/>
    <w:rsid w:val="000D5595"/>
    <w:rsid w:val="00115485"/>
    <w:rsid w:val="00125FEE"/>
    <w:rsid w:val="00165B00"/>
    <w:rsid w:val="001A10EC"/>
    <w:rsid w:val="001D01BB"/>
    <w:rsid w:val="001F31F2"/>
    <w:rsid w:val="00200A01"/>
    <w:rsid w:val="002206C9"/>
    <w:rsid w:val="00231394"/>
    <w:rsid w:val="002344A2"/>
    <w:rsid w:val="00243BC1"/>
    <w:rsid w:val="0024410E"/>
    <w:rsid w:val="00245B04"/>
    <w:rsid w:val="00264F20"/>
    <w:rsid w:val="00277668"/>
    <w:rsid w:val="002825EB"/>
    <w:rsid w:val="002A0118"/>
    <w:rsid w:val="002A0901"/>
    <w:rsid w:val="002B1F14"/>
    <w:rsid w:val="002C15CB"/>
    <w:rsid w:val="002C2D1D"/>
    <w:rsid w:val="002E2A09"/>
    <w:rsid w:val="002E40C9"/>
    <w:rsid w:val="002F2508"/>
    <w:rsid w:val="002F7368"/>
    <w:rsid w:val="0031127D"/>
    <w:rsid w:val="0031370E"/>
    <w:rsid w:val="00325A84"/>
    <w:rsid w:val="00350C69"/>
    <w:rsid w:val="003519D9"/>
    <w:rsid w:val="00355D72"/>
    <w:rsid w:val="00364303"/>
    <w:rsid w:val="00380B03"/>
    <w:rsid w:val="0039029A"/>
    <w:rsid w:val="00392EC8"/>
    <w:rsid w:val="003B1790"/>
    <w:rsid w:val="003B1DBF"/>
    <w:rsid w:val="003C2AF2"/>
    <w:rsid w:val="003C5C11"/>
    <w:rsid w:val="003C63E0"/>
    <w:rsid w:val="003D236C"/>
    <w:rsid w:val="003F17CE"/>
    <w:rsid w:val="003F39C0"/>
    <w:rsid w:val="00413CD0"/>
    <w:rsid w:val="00414150"/>
    <w:rsid w:val="0042579D"/>
    <w:rsid w:val="00470D19"/>
    <w:rsid w:val="0047165C"/>
    <w:rsid w:val="004746DD"/>
    <w:rsid w:val="004831F3"/>
    <w:rsid w:val="0049500C"/>
    <w:rsid w:val="00496049"/>
    <w:rsid w:val="00496AAF"/>
    <w:rsid w:val="004A2BD0"/>
    <w:rsid w:val="004B1F2E"/>
    <w:rsid w:val="004C0613"/>
    <w:rsid w:val="004C3657"/>
    <w:rsid w:val="004D0C04"/>
    <w:rsid w:val="004D1414"/>
    <w:rsid w:val="004D32ED"/>
    <w:rsid w:val="004D33D6"/>
    <w:rsid w:val="0051041A"/>
    <w:rsid w:val="00515D19"/>
    <w:rsid w:val="0051686B"/>
    <w:rsid w:val="005230F2"/>
    <w:rsid w:val="00524A5A"/>
    <w:rsid w:val="005309B5"/>
    <w:rsid w:val="00537964"/>
    <w:rsid w:val="00552843"/>
    <w:rsid w:val="00557280"/>
    <w:rsid w:val="00572687"/>
    <w:rsid w:val="00573B6E"/>
    <w:rsid w:val="00590C54"/>
    <w:rsid w:val="005926B2"/>
    <w:rsid w:val="005A2158"/>
    <w:rsid w:val="005C0AB0"/>
    <w:rsid w:val="005C7125"/>
    <w:rsid w:val="005D7DA4"/>
    <w:rsid w:val="005F46F2"/>
    <w:rsid w:val="005F4C31"/>
    <w:rsid w:val="00607507"/>
    <w:rsid w:val="006121BC"/>
    <w:rsid w:val="00620802"/>
    <w:rsid w:val="006217E1"/>
    <w:rsid w:val="00623EEE"/>
    <w:rsid w:val="00630517"/>
    <w:rsid w:val="00637D65"/>
    <w:rsid w:val="00655573"/>
    <w:rsid w:val="00664793"/>
    <w:rsid w:val="00676396"/>
    <w:rsid w:val="00683C27"/>
    <w:rsid w:val="006B5DFA"/>
    <w:rsid w:val="006D2657"/>
    <w:rsid w:val="006E2E10"/>
    <w:rsid w:val="006E52BC"/>
    <w:rsid w:val="006F13F1"/>
    <w:rsid w:val="00705B5B"/>
    <w:rsid w:val="00730017"/>
    <w:rsid w:val="007427B0"/>
    <w:rsid w:val="00743567"/>
    <w:rsid w:val="0074607D"/>
    <w:rsid w:val="00770769"/>
    <w:rsid w:val="00783754"/>
    <w:rsid w:val="00795364"/>
    <w:rsid w:val="0079773C"/>
    <w:rsid w:val="007D30A3"/>
    <w:rsid w:val="007E7F69"/>
    <w:rsid w:val="007F48DE"/>
    <w:rsid w:val="007F6812"/>
    <w:rsid w:val="00800C1E"/>
    <w:rsid w:val="00805D20"/>
    <w:rsid w:val="00814CEB"/>
    <w:rsid w:val="00825067"/>
    <w:rsid w:val="008415E4"/>
    <w:rsid w:val="008622EE"/>
    <w:rsid w:val="00876CE2"/>
    <w:rsid w:val="008838B5"/>
    <w:rsid w:val="00891D65"/>
    <w:rsid w:val="00896AAD"/>
    <w:rsid w:val="008B79BE"/>
    <w:rsid w:val="008C3FCD"/>
    <w:rsid w:val="008E0AAD"/>
    <w:rsid w:val="008E0BC2"/>
    <w:rsid w:val="008F000A"/>
    <w:rsid w:val="008F1126"/>
    <w:rsid w:val="008F6913"/>
    <w:rsid w:val="00921769"/>
    <w:rsid w:val="009457C1"/>
    <w:rsid w:val="00947B87"/>
    <w:rsid w:val="00964FD6"/>
    <w:rsid w:val="00975936"/>
    <w:rsid w:val="00976C05"/>
    <w:rsid w:val="009842B9"/>
    <w:rsid w:val="009B632D"/>
    <w:rsid w:val="009C2504"/>
    <w:rsid w:val="009E09DE"/>
    <w:rsid w:val="009E57C7"/>
    <w:rsid w:val="00A10E0E"/>
    <w:rsid w:val="00A1124D"/>
    <w:rsid w:val="00A11A8C"/>
    <w:rsid w:val="00A26D6E"/>
    <w:rsid w:val="00A350DF"/>
    <w:rsid w:val="00A5333F"/>
    <w:rsid w:val="00A622F0"/>
    <w:rsid w:val="00A72E37"/>
    <w:rsid w:val="00A736FA"/>
    <w:rsid w:val="00A75478"/>
    <w:rsid w:val="00A75D22"/>
    <w:rsid w:val="00AA6890"/>
    <w:rsid w:val="00AB1E50"/>
    <w:rsid w:val="00AB6C06"/>
    <w:rsid w:val="00AC0063"/>
    <w:rsid w:val="00AD4765"/>
    <w:rsid w:val="00AE4BA8"/>
    <w:rsid w:val="00AE7272"/>
    <w:rsid w:val="00B029F9"/>
    <w:rsid w:val="00B03724"/>
    <w:rsid w:val="00B06911"/>
    <w:rsid w:val="00B12A85"/>
    <w:rsid w:val="00B208A9"/>
    <w:rsid w:val="00B46428"/>
    <w:rsid w:val="00B54C99"/>
    <w:rsid w:val="00B639B0"/>
    <w:rsid w:val="00BC75E6"/>
    <w:rsid w:val="00BD0EDE"/>
    <w:rsid w:val="00BD4C0B"/>
    <w:rsid w:val="00BF0816"/>
    <w:rsid w:val="00C20580"/>
    <w:rsid w:val="00C60008"/>
    <w:rsid w:val="00C7758D"/>
    <w:rsid w:val="00C8346E"/>
    <w:rsid w:val="00CA5918"/>
    <w:rsid w:val="00CE5635"/>
    <w:rsid w:val="00CF02FA"/>
    <w:rsid w:val="00D01DB0"/>
    <w:rsid w:val="00D06375"/>
    <w:rsid w:val="00D22CF2"/>
    <w:rsid w:val="00D2345E"/>
    <w:rsid w:val="00D51598"/>
    <w:rsid w:val="00D60811"/>
    <w:rsid w:val="00D6441D"/>
    <w:rsid w:val="00D64851"/>
    <w:rsid w:val="00D70B72"/>
    <w:rsid w:val="00D81930"/>
    <w:rsid w:val="00D9613F"/>
    <w:rsid w:val="00D97CC3"/>
    <w:rsid w:val="00DA0049"/>
    <w:rsid w:val="00DA16F0"/>
    <w:rsid w:val="00DB6A3B"/>
    <w:rsid w:val="00DC1154"/>
    <w:rsid w:val="00DF0B7A"/>
    <w:rsid w:val="00DF4704"/>
    <w:rsid w:val="00E02ED2"/>
    <w:rsid w:val="00E16D64"/>
    <w:rsid w:val="00E1775A"/>
    <w:rsid w:val="00E80F0E"/>
    <w:rsid w:val="00E8530F"/>
    <w:rsid w:val="00EA75A3"/>
    <w:rsid w:val="00EC1115"/>
    <w:rsid w:val="00EC72DE"/>
    <w:rsid w:val="00EC7D95"/>
    <w:rsid w:val="00EE2537"/>
    <w:rsid w:val="00F02D15"/>
    <w:rsid w:val="00F1067C"/>
    <w:rsid w:val="00F158EE"/>
    <w:rsid w:val="00F17095"/>
    <w:rsid w:val="00F23AE4"/>
    <w:rsid w:val="00F33558"/>
    <w:rsid w:val="00F43784"/>
    <w:rsid w:val="00F44EBF"/>
    <w:rsid w:val="00F4720E"/>
    <w:rsid w:val="00F65B13"/>
    <w:rsid w:val="00F67EED"/>
    <w:rsid w:val="00F832BE"/>
    <w:rsid w:val="00F864B1"/>
    <w:rsid w:val="00FA6660"/>
    <w:rsid w:val="00FA6791"/>
    <w:rsid w:val="00FC122E"/>
    <w:rsid w:val="00FD17AF"/>
    <w:rsid w:val="00FE4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06ADB58-119A-4CC6-BD11-53A35CE10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pPr>
        <w:spacing w:line="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B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245B04"/>
    <w:rPr>
      <w:b/>
      <w:bCs/>
    </w:rPr>
  </w:style>
  <w:style w:type="paragraph" w:styleId="a4">
    <w:name w:val="header"/>
    <w:basedOn w:val="a"/>
    <w:link w:val="a5"/>
    <w:uiPriority w:val="99"/>
    <w:unhideWhenUsed/>
    <w:rsid w:val="00964FD6"/>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5">
    <w:name w:val="页眉 字符"/>
    <w:basedOn w:val="a0"/>
    <w:link w:val="a4"/>
    <w:uiPriority w:val="99"/>
    <w:rsid w:val="00964FD6"/>
    <w:rPr>
      <w:sz w:val="18"/>
      <w:szCs w:val="18"/>
    </w:rPr>
  </w:style>
  <w:style w:type="paragraph" w:styleId="a6">
    <w:name w:val="footer"/>
    <w:basedOn w:val="a"/>
    <w:link w:val="a7"/>
    <w:uiPriority w:val="99"/>
    <w:unhideWhenUsed/>
    <w:rsid w:val="00964FD6"/>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uiPriority w:val="99"/>
    <w:rsid w:val="00964F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156</Words>
  <Characters>894</Characters>
  <Application>Microsoft Office Word</Application>
  <DocSecurity>0</DocSecurity>
  <Lines>7</Lines>
  <Paragraphs>2</Paragraphs>
  <ScaleCrop>false</ScaleCrop>
  <Company>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2016-09-19T00:44:00Z</dcterms:created>
  <dcterms:modified xsi:type="dcterms:W3CDTF">2021-01-06T03:03:00Z</dcterms:modified>
</cp:coreProperties>
</file>