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4"/>
        <w:tblpPr w:leftFromText="180" w:rightFromText="180" w:vertAnchor="page" w:horzAnchor="page" w:tblpX="1401" w:tblpY="1796"/>
        <w:tblOverlap w:val="never"/>
        <w:tblW w:w="13896"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
      <w:tblGrid>
        <w:gridCol w:w="655"/>
        <w:gridCol w:w="801"/>
        <w:gridCol w:w="917"/>
        <w:gridCol w:w="1077"/>
        <w:gridCol w:w="1044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Ex>
        <w:trPr>
          <w:trHeight w:val="286" w:hRule="atLeast"/>
        </w:trPr>
        <w:tc>
          <w:tcPr>
            <w:tcW w:w="655" w:type="dxa"/>
            <w:tcBorders>
              <w:top w:val="nil"/>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color w:val="000000"/>
                <w:sz w:val="20"/>
                <w:szCs w:val="20"/>
                <w:u w:val="none"/>
              </w:rPr>
            </w:pPr>
            <w:r>
              <w:rPr>
                <w:rFonts w:hint="eastAsia" w:ascii="黑体" w:hAnsi="宋体" w:eastAsia="黑体" w:cs="黑体"/>
                <w:i w:val="0"/>
                <w:color w:val="000000"/>
                <w:kern w:val="0"/>
                <w:sz w:val="20"/>
                <w:szCs w:val="20"/>
                <w:u w:val="none"/>
                <w:lang w:val="en-US" w:eastAsia="zh-CN" w:bidi="ar"/>
              </w:rPr>
              <w:t>序号</w:t>
            </w:r>
          </w:p>
        </w:tc>
        <w:tc>
          <w:tcPr>
            <w:tcW w:w="801" w:type="dxa"/>
            <w:tcBorders>
              <w:top w:val="nil"/>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color w:val="000000"/>
                <w:sz w:val="20"/>
                <w:szCs w:val="20"/>
                <w:u w:val="none"/>
              </w:rPr>
            </w:pPr>
            <w:r>
              <w:rPr>
                <w:rFonts w:hint="eastAsia" w:ascii="黑体" w:hAnsi="宋体" w:eastAsia="黑体" w:cs="黑体"/>
                <w:i w:val="0"/>
                <w:color w:val="000000"/>
                <w:kern w:val="0"/>
                <w:sz w:val="20"/>
                <w:szCs w:val="20"/>
                <w:u w:val="none"/>
                <w:lang w:val="en-US" w:eastAsia="zh-CN" w:bidi="ar"/>
              </w:rPr>
              <w:t>姓名</w:t>
            </w:r>
          </w:p>
        </w:tc>
        <w:tc>
          <w:tcPr>
            <w:tcW w:w="917" w:type="dxa"/>
            <w:tcBorders>
              <w:top w:val="nil"/>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color w:val="000000"/>
                <w:sz w:val="20"/>
                <w:szCs w:val="20"/>
                <w:u w:val="none"/>
              </w:rPr>
            </w:pPr>
            <w:r>
              <w:rPr>
                <w:rFonts w:hint="eastAsia" w:ascii="黑体" w:hAnsi="宋体" w:eastAsia="黑体" w:cs="黑体"/>
                <w:i w:val="0"/>
                <w:color w:val="000000"/>
                <w:kern w:val="0"/>
                <w:sz w:val="20"/>
                <w:szCs w:val="20"/>
                <w:u w:val="none"/>
                <w:lang w:val="en-US" w:eastAsia="zh-CN" w:bidi="ar"/>
              </w:rPr>
              <w:t>学号</w:t>
            </w:r>
          </w:p>
        </w:tc>
        <w:tc>
          <w:tcPr>
            <w:tcW w:w="1077" w:type="dxa"/>
            <w:tcBorders>
              <w:top w:val="nil"/>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color w:val="000000"/>
                <w:sz w:val="20"/>
                <w:szCs w:val="20"/>
                <w:u w:val="none"/>
              </w:rPr>
            </w:pPr>
            <w:r>
              <w:rPr>
                <w:rFonts w:hint="eastAsia" w:ascii="黑体" w:hAnsi="宋体" w:eastAsia="黑体" w:cs="黑体"/>
                <w:i w:val="0"/>
                <w:color w:val="000000"/>
                <w:kern w:val="0"/>
                <w:sz w:val="20"/>
                <w:szCs w:val="20"/>
                <w:u w:val="none"/>
                <w:lang w:val="en-US" w:eastAsia="zh-CN" w:bidi="ar"/>
              </w:rPr>
              <w:t>专业</w:t>
            </w:r>
          </w:p>
        </w:tc>
        <w:tc>
          <w:tcPr>
            <w:tcW w:w="10446" w:type="dxa"/>
            <w:tcBorders>
              <w:top w:val="nil"/>
              <w:left w:val="single" w:color="000000" w:sz="4" w:space="0"/>
              <w:bottom w:val="single" w:color="000000"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color w:val="000000"/>
                <w:sz w:val="20"/>
                <w:szCs w:val="20"/>
                <w:u w:val="none"/>
              </w:rPr>
            </w:pPr>
            <w:r>
              <w:rPr>
                <w:rFonts w:hint="eastAsia" w:ascii="黑体" w:hAnsi="宋体" w:eastAsia="黑体" w:cs="黑体"/>
                <w:i w:val="0"/>
                <w:color w:val="000000"/>
                <w:kern w:val="0"/>
                <w:sz w:val="20"/>
                <w:szCs w:val="20"/>
                <w:u w:val="none"/>
                <w:lang w:val="en-US" w:eastAsia="zh-CN" w:bidi="ar"/>
              </w:rPr>
              <w:t>科研业绩 （发表论文 、著作、发明专利等）</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720" w:hRule="atLeast"/>
        </w:trPr>
        <w:tc>
          <w:tcPr>
            <w:tcW w:w="655"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1</w:t>
            </w:r>
          </w:p>
        </w:tc>
        <w:tc>
          <w:tcPr>
            <w:tcW w:w="801"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韩莹倩</w:t>
            </w:r>
          </w:p>
        </w:tc>
        <w:tc>
          <w:tcPr>
            <w:tcW w:w="917"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15103008</w:t>
            </w:r>
          </w:p>
        </w:tc>
        <w:tc>
          <w:tcPr>
            <w:tcW w:w="1077"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兽医学</w:t>
            </w:r>
          </w:p>
        </w:tc>
        <w:tc>
          <w:tcPr>
            <w:tcW w:w="10446" w:type="dxa"/>
            <w:tcBorders>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1.Myostatin Knockout Induces Apoptosis in Human Cervical Cancer cells via Elevated Reactive Oxygen Species Generation,</w:t>
            </w:r>
            <w:r>
              <w:rPr>
                <w:rFonts w:hint="eastAsia" w:ascii="宋体" w:hAnsi="宋体" w:eastAsia="宋体" w:cs="宋体"/>
                <w:b/>
                <w:bCs/>
                <w:i w:val="0"/>
                <w:color w:val="000000"/>
                <w:kern w:val="0"/>
                <w:sz w:val="20"/>
                <w:szCs w:val="20"/>
                <w:u w:val="none"/>
                <w:lang w:val="en-US" w:eastAsia="zh-CN" w:bidi="ar"/>
              </w:rPr>
              <w:t>《 Redox Biology》</w:t>
            </w:r>
            <w:r>
              <w:rPr>
                <w:rFonts w:hint="eastAsia" w:ascii="宋体" w:hAnsi="宋体" w:eastAsia="宋体" w:cs="宋体"/>
                <w:i w:val="0"/>
                <w:color w:val="000000"/>
                <w:kern w:val="0"/>
                <w:sz w:val="20"/>
                <w:szCs w:val="20"/>
                <w:u w:val="none"/>
                <w:lang w:val="en-US" w:eastAsia="zh-CN" w:bidi="ar"/>
              </w:rPr>
              <w:t>, 2018年9月，第一作者，IF7.126；</w:t>
            </w:r>
            <w:r>
              <w:rPr>
                <w:rStyle w:val="7"/>
                <w:lang w:val="en-US" w:eastAsia="zh-CN" w:bidi="ar"/>
              </w:rPr>
              <w:t xml:space="preserve"> </w:t>
            </w:r>
            <w:r>
              <w:rPr>
                <w:rStyle w:val="13"/>
                <w:lang w:val="en-US" w:eastAsia="zh-CN" w:bidi="ar"/>
              </w:rPr>
              <w:br w:type="textWrapping"/>
            </w:r>
            <w:r>
              <w:rPr>
                <w:rStyle w:val="13"/>
                <w:lang w:val="en-US" w:eastAsia="zh-CN" w:bidi="ar"/>
              </w:rPr>
              <w:t xml:space="preserve">2.PKM2 knockdown influences SREBP activation and lipid synthesis in bovine mammary-gland epithelial MAC-T cells, </w:t>
            </w:r>
            <w:r>
              <w:rPr>
                <w:rStyle w:val="13"/>
                <w:b/>
                <w:bCs/>
                <w:lang w:val="en-US" w:eastAsia="zh-CN" w:bidi="ar"/>
              </w:rPr>
              <w:t>《BIOTECHNOLOGY LETTERS》</w:t>
            </w:r>
            <w:r>
              <w:rPr>
                <w:rStyle w:val="13"/>
                <w:lang w:val="en-US" w:eastAsia="zh-CN" w:bidi="ar"/>
              </w:rPr>
              <w:t>,2018年1月，共同第一作者(排名第二)，IF1.730；</w:t>
            </w:r>
            <w:r>
              <w:rPr>
                <w:rStyle w:val="13"/>
                <w:lang w:val="en-US" w:eastAsia="zh-CN" w:bidi="ar"/>
              </w:rPr>
              <w:br w:type="textWrapping"/>
            </w:r>
            <w:r>
              <w:rPr>
                <w:rStyle w:val="13"/>
                <w:lang w:val="en-US" w:eastAsia="zh-CN" w:bidi="ar"/>
              </w:rPr>
              <w:t>3.High-level expression of soluble recombinant proteins in Escherichia coli using an HE-maltotriose-binding protein fusion tag,</w:t>
            </w:r>
            <w:r>
              <w:rPr>
                <w:rStyle w:val="13"/>
                <w:b/>
                <w:bCs/>
                <w:lang w:val="en-US" w:eastAsia="zh-CN" w:bidi="ar"/>
              </w:rPr>
              <w:t xml:space="preserve"> 《Protein Expression and Purification》</w:t>
            </w:r>
            <w:r>
              <w:rPr>
                <w:rStyle w:val="13"/>
                <w:lang w:val="en-US" w:eastAsia="zh-CN" w:bidi="ar"/>
              </w:rPr>
              <w:t>, 2018年2月，第一作者，IF1.351。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Ex>
        <w:trPr>
          <w:trHeight w:val="720" w:hRule="atLeast"/>
        </w:trPr>
        <w:tc>
          <w:tcPr>
            <w:tcW w:w="655" w:type="dxa"/>
            <w:vMerge w:val="restart"/>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801" w:type="dxa"/>
            <w:vMerge w:val="restart"/>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苏慧慧</w:t>
            </w:r>
          </w:p>
        </w:tc>
        <w:tc>
          <w:tcPr>
            <w:tcW w:w="917" w:type="dxa"/>
            <w:vMerge w:val="restart"/>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15101003</w:t>
            </w:r>
          </w:p>
        </w:tc>
        <w:tc>
          <w:tcPr>
            <w:tcW w:w="1077" w:type="dxa"/>
            <w:vMerge w:val="restart"/>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作物学</w:t>
            </w:r>
          </w:p>
        </w:tc>
        <w:tc>
          <w:tcPr>
            <w:tcW w:w="10446" w:type="dxa"/>
            <w:tcBorders>
              <w:top w:val="single" w:color="auto" w:sz="4" w:space="0"/>
              <w:right w:val="single" w:color="auto"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1. Dual functions of ZmNF-YA3 in photoperiod-dependent flowering and abiotic stress responses in maize. </w:t>
            </w:r>
            <w:r>
              <w:rPr>
                <w:rFonts w:hint="eastAsia" w:ascii="宋体" w:hAnsi="宋体" w:eastAsia="宋体" w:cs="宋体"/>
                <w:b/>
                <w:bCs/>
                <w:i w:val="0"/>
                <w:color w:val="000000"/>
                <w:kern w:val="0"/>
                <w:sz w:val="20"/>
                <w:szCs w:val="20"/>
                <w:u w:val="none"/>
                <w:lang w:val="en-US" w:eastAsia="zh-CN" w:bidi="ar"/>
              </w:rPr>
              <w:t>《Journal of Experimental Botany》</w:t>
            </w:r>
            <w:r>
              <w:rPr>
                <w:rFonts w:hint="eastAsia" w:ascii="宋体" w:hAnsi="宋体" w:eastAsia="宋体" w:cs="宋体"/>
                <w:i w:val="0"/>
                <w:color w:val="000000"/>
                <w:kern w:val="0"/>
                <w:sz w:val="20"/>
                <w:szCs w:val="20"/>
                <w:u w:val="none"/>
                <w:lang w:val="en-US" w:eastAsia="zh-CN" w:bidi="ar"/>
              </w:rPr>
              <w:t>，2018年8月，第一作者，IF5.354；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1242" w:hRule="atLeast"/>
        </w:trPr>
        <w:tc>
          <w:tcPr>
            <w:tcW w:w="65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p>
        </w:tc>
        <w:tc>
          <w:tcPr>
            <w:tcW w:w="80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p>
        </w:tc>
        <w:tc>
          <w:tcPr>
            <w:tcW w:w="9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p>
        </w:tc>
        <w:tc>
          <w:tcPr>
            <w:tcW w:w="107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p>
        </w:tc>
        <w:tc>
          <w:tcPr>
            <w:tcW w:w="10446" w:type="dxa"/>
            <w:tcBorders>
              <w:bottom w:val="single" w:color="000000" w:sz="4" w:space="0"/>
              <w:right w:val="single" w:color="auto"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 Dual functions of the ZmCCT-associated quantitative trait locus in flowering and stress responses under long-day conditions。</w:t>
            </w:r>
            <w:r>
              <w:rPr>
                <w:rStyle w:val="5"/>
                <w:lang w:val="en-US" w:eastAsia="zh-CN" w:bidi="ar"/>
              </w:rPr>
              <w:t xml:space="preserve"> </w:t>
            </w:r>
            <w:r>
              <w:rPr>
                <w:rStyle w:val="6"/>
                <w:b/>
                <w:bCs/>
                <w:lang w:val="en-US" w:eastAsia="zh-CN" w:bidi="ar"/>
              </w:rPr>
              <w:t>《BMC Plant Biology 》</w:t>
            </w:r>
            <w:r>
              <w:rPr>
                <w:rStyle w:val="6"/>
                <w:lang w:val="en-US" w:eastAsia="zh-CN" w:bidi="ar"/>
              </w:rPr>
              <w:t>， 2016年11月，</w:t>
            </w:r>
            <w:r>
              <w:rPr>
                <w:rStyle w:val="13"/>
                <w:lang w:val="en-US" w:eastAsia="zh-CN" w:bidi="ar"/>
              </w:rPr>
              <w:t>共同第一作者（排名第三），IF3</w:t>
            </w:r>
            <w:r>
              <w:rPr>
                <w:rStyle w:val="6"/>
                <w:lang w:val="en-US" w:eastAsia="zh-CN" w:bidi="ar"/>
              </w:rPr>
              <w:t>.930。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1808" w:hRule="atLeast"/>
        </w:trPr>
        <w:tc>
          <w:tcPr>
            <w:tcW w:w="655"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3</w:t>
            </w:r>
          </w:p>
        </w:tc>
        <w:tc>
          <w:tcPr>
            <w:tcW w:w="801"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 xml:space="preserve">陈永强  </w:t>
            </w:r>
          </w:p>
        </w:tc>
        <w:tc>
          <w:tcPr>
            <w:tcW w:w="917"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16101007</w:t>
            </w:r>
          </w:p>
        </w:tc>
        <w:tc>
          <w:tcPr>
            <w:tcW w:w="1077"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作物学</w:t>
            </w:r>
          </w:p>
        </w:tc>
        <w:tc>
          <w:tcPr>
            <w:tcW w:w="10446" w:type="dxa"/>
            <w:tcBorders>
              <w:bottom w:val="single" w:color="auto" w:sz="4" w:space="0"/>
              <w:right w:val="single" w:color="auto"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1.Proteomic analysis reveals that auxin homeostasis influences the eighth internode length heterosis in maize (Zea mays).</w:t>
            </w:r>
            <w:r>
              <w:rPr>
                <w:rFonts w:hint="eastAsia" w:ascii="宋体" w:hAnsi="宋体" w:eastAsia="宋体" w:cs="宋体"/>
                <w:b/>
                <w:bCs/>
                <w:i w:val="0"/>
                <w:color w:val="000000"/>
                <w:kern w:val="0"/>
                <w:sz w:val="20"/>
                <w:szCs w:val="20"/>
                <w:u w:val="none"/>
                <w:lang w:val="en-US" w:eastAsia="zh-CN" w:bidi="ar"/>
              </w:rPr>
              <w:t>《Scientific Reports》</w:t>
            </w:r>
            <w:r>
              <w:rPr>
                <w:rFonts w:hint="eastAsia" w:ascii="宋体" w:hAnsi="宋体" w:eastAsia="宋体" w:cs="宋体"/>
                <w:i w:val="0"/>
                <w:color w:val="000000"/>
                <w:kern w:val="0"/>
                <w:sz w:val="20"/>
                <w:szCs w:val="20"/>
                <w:u w:val="none"/>
                <w:lang w:val="en-US" w:eastAsia="zh-CN" w:bidi="ar"/>
              </w:rPr>
              <w:t>，2018年5月，第一作者，IF4.122。</w:t>
            </w:r>
            <w:bookmarkStart w:id="0" w:name="_GoBack"/>
            <w:bookmarkEnd w:id="0"/>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720" w:hRule="atLeast"/>
        </w:trPr>
        <w:tc>
          <w:tcPr>
            <w:tcW w:w="655" w:type="dxa"/>
            <w:vMerge w:val="restart"/>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w:t>
            </w:r>
          </w:p>
        </w:tc>
        <w:tc>
          <w:tcPr>
            <w:tcW w:w="801" w:type="dxa"/>
            <w:vMerge w:val="restart"/>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郭彬彬</w:t>
            </w:r>
          </w:p>
        </w:tc>
        <w:tc>
          <w:tcPr>
            <w:tcW w:w="917" w:type="dxa"/>
            <w:vMerge w:val="restart"/>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15101007</w:t>
            </w:r>
          </w:p>
        </w:tc>
        <w:tc>
          <w:tcPr>
            <w:tcW w:w="1077" w:type="dxa"/>
            <w:vMerge w:val="restart"/>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color w:val="000000"/>
                <w:sz w:val="20"/>
                <w:szCs w:val="20"/>
                <w:u w:val="none"/>
              </w:rPr>
            </w:pPr>
            <w:r>
              <w:rPr>
                <w:rFonts w:hint="default" w:ascii="Times New Roman" w:hAnsi="Times New Roman" w:eastAsia="宋体" w:cs="Times New Roman"/>
                <w:i w:val="0"/>
                <w:color w:val="000000"/>
                <w:kern w:val="0"/>
                <w:sz w:val="20"/>
                <w:szCs w:val="20"/>
                <w:u w:val="none"/>
                <w:lang w:val="en-US" w:eastAsia="zh-CN" w:bidi="ar"/>
              </w:rPr>
              <w:t>作物学</w:t>
            </w:r>
          </w:p>
        </w:tc>
        <w:tc>
          <w:tcPr>
            <w:tcW w:w="10446" w:type="dxa"/>
            <w:tcBorders>
              <w:top w:val="single" w:color="auto" w:sz="4" w:space="0"/>
              <w:right w:val="single" w:color="auto"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1. Remotely Estimating Aerial N Uptake in Winter Wheat Using Red-Edge Area Index From Multi-Angular Hyperspectral Data. </w:t>
            </w:r>
            <w:r>
              <w:rPr>
                <w:rFonts w:hint="eastAsia" w:ascii="宋体" w:hAnsi="宋体" w:eastAsia="宋体" w:cs="宋体"/>
                <w:b/>
                <w:bCs/>
                <w:i w:val="0"/>
                <w:color w:val="000000"/>
                <w:kern w:val="0"/>
                <w:sz w:val="20"/>
                <w:szCs w:val="20"/>
                <w:u w:val="none"/>
                <w:lang w:val="en-US" w:eastAsia="zh-CN" w:bidi="ar"/>
              </w:rPr>
              <w:t>《Frontiers in Plant Science》</w:t>
            </w:r>
            <w:r>
              <w:rPr>
                <w:rFonts w:hint="eastAsia" w:ascii="宋体" w:hAnsi="宋体" w:eastAsia="宋体" w:cs="宋体"/>
                <w:i w:val="0"/>
                <w:color w:val="000000"/>
                <w:kern w:val="0"/>
                <w:sz w:val="20"/>
                <w:szCs w:val="20"/>
                <w:u w:val="none"/>
                <w:lang w:val="en-US" w:eastAsia="zh-CN" w:bidi="ar"/>
              </w:rPr>
              <w:t>, 2018年5月,第一作者,IF3.678；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495" w:hRule="atLeast"/>
        </w:trPr>
        <w:tc>
          <w:tcPr>
            <w:tcW w:w="65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p>
        </w:tc>
        <w:tc>
          <w:tcPr>
            <w:tcW w:w="80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p>
        </w:tc>
        <w:tc>
          <w:tcPr>
            <w:tcW w:w="9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p>
        </w:tc>
        <w:tc>
          <w:tcPr>
            <w:tcW w:w="107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Times New Roman" w:hAnsi="Times New Roman" w:eastAsia="宋体" w:cs="Times New Roman"/>
                <w:i w:val="0"/>
                <w:color w:val="000000"/>
                <w:sz w:val="20"/>
                <w:szCs w:val="20"/>
                <w:u w:val="none"/>
              </w:rPr>
            </w:pPr>
          </w:p>
        </w:tc>
        <w:tc>
          <w:tcPr>
            <w:tcW w:w="10446" w:type="dxa"/>
            <w:tcBorders>
              <w:right w:val="single" w:color="auto" w:sz="4" w:space="0"/>
            </w:tcBorders>
            <w:shd w:val="clear" w:color="auto" w:fill="auto"/>
            <w:vAlign w:val="center"/>
          </w:tcPr>
          <w:p>
            <w:pPr>
              <w:keepNext w:val="0"/>
              <w:keepLines w:val="0"/>
              <w:widowControl/>
              <w:suppressLineNumbers w:val="0"/>
              <w:jc w:val="both"/>
              <w:textAlignment w:val="center"/>
              <w:rPr>
                <w:rFonts w:hint="default" w:ascii="Times New Roman" w:hAnsi="Times New Roman" w:eastAsia="宋体" w:cs="Times New Roman"/>
                <w:i w:val="0"/>
                <w:color w:val="000000"/>
                <w:sz w:val="20"/>
                <w:szCs w:val="20"/>
                <w:u w:val="none"/>
              </w:rPr>
            </w:pPr>
            <w:r>
              <w:rPr>
                <w:rFonts w:hint="default" w:ascii="Times New Roman" w:hAnsi="Times New Roman" w:eastAsia="宋体" w:cs="Times New Roman"/>
                <w:i w:val="0"/>
                <w:color w:val="000000"/>
                <w:kern w:val="0"/>
                <w:sz w:val="20"/>
                <w:szCs w:val="20"/>
                <w:u w:val="none"/>
                <w:lang w:val="en-US" w:eastAsia="zh-CN" w:bidi="ar"/>
              </w:rPr>
              <w:t xml:space="preserve">2. </w:t>
            </w:r>
            <w:r>
              <w:rPr>
                <w:rStyle w:val="6"/>
                <w:lang w:val="en-US" w:eastAsia="zh-CN" w:bidi="ar"/>
              </w:rPr>
              <w:t>基于氮平衡光谱法的小麦春季氮肥施用方法及其追氮模型的构建方法。专利，2018年</w:t>
            </w:r>
            <w:r>
              <w:rPr>
                <w:rStyle w:val="8"/>
                <w:rFonts w:eastAsia="宋体"/>
                <w:lang w:val="en-US" w:eastAsia="zh-CN" w:bidi="ar"/>
              </w:rPr>
              <w:t>6</w:t>
            </w:r>
            <w:r>
              <w:rPr>
                <w:rStyle w:val="6"/>
                <w:lang w:val="en-US" w:eastAsia="zh-CN" w:bidi="ar"/>
              </w:rPr>
              <w:t>月</w:t>
            </w:r>
            <w:r>
              <w:rPr>
                <w:rStyle w:val="13"/>
                <w:lang w:val="en-US" w:eastAsia="zh-CN" w:bidi="ar"/>
              </w:rPr>
              <w:t>，第二作者（导师一作）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65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p>
        </w:tc>
        <w:tc>
          <w:tcPr>
            <w:tcW w:w="80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p>
        </w:tc>
        <w:tc>
          <w:tcPr>
            <w:tcW w:w="9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p>
        </w:tc>
        <w:tc>
          <w:tcPr>
            <w:tcW w:w="107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Times New Roman" w:hAnsi="Times New Roman" w:eastAsia="宋体" w:cs="Times New Roman"/>
                <w:i w:val="0"/>
                <w:color w:val="000000"/>
                <w:sz w:val="20"/>
                <w:szCs w:val="20"/>
                <w:u w:val="none"/>
              </w:rPr>
            </w:pPr>
          </w:p>
        </w:tc>
        <w:tc>
          <w:tcPr>
            <w:tcW w:w="10446" w:type="dxa"/>
            <w:tcBorders>
              <w:bottom w:val="single" w:color="auto" w:sz="4" w:space="0"/>
              <w:right w:val="single" w:color="auto"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720" w:hRule="atLeast"/>
        </w:trPr>
        <w:tc>
          <w:tcPr>
            <w:tcW w:w="6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5</w:t>
            </w:r>
          </w:p>
        </w:tc>
        <w:tc>
          <w:tcPr>
            <w:tcW w:w="80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翟亚军</w:t>
            </w:r>
          </w:p>
        </w:tc>
        <w:tc>
          <w:tcPr>
            <w:tcW w:w="9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16103011</w:t>
            </w:r>
          </w:p>
        </w:tc>
        <w:tc>
          <w:tcPr>
            <w:tcW w:w="10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基础兽医学</w:t>
            </w:r>
          </w:p>
        </w:tc>
        <w:tc>
          <w:tcPr>
            <w:tcW w:w="10446" w:type="dxa"/>
            <w:tcBorders>
              <w:top w:val="single" w:color="auto" w:sz="4" w:space="0"/>
              <w:bottom w:val="single" w:color="000000" w:sz="4" w:space="0"/>
              <w:right w:val="single" w:color="auto"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 xml:space="preserve">1. CpxR overexpression increases the susceptibility of </w:t>
            </w:r>
            <w:r>
              <w:rPr>
                <w:rStyle w:val="14"/>
                <w:lang w:val="en-US" w:eastAsia="zh-CN" w:bidi="ar"/>
              </w:rPr>
              <w:t>acrB</w:t>
            </w:r>
            <w:r>
              <w:rPr>
                <w:rStyle w:val="13"/>
                <w:lang w:val="en-US" w:eastAsia="zh-CN" w:bidi="ar"/>
              </w:rPr>
              <w:t xml:space="preserve"> and </w:t>
            </w:r>
            <w:r>
              <w:rPr>
                <w:rStyle w:val="14"/>
                <w:lang w:val="en-US" w:eastAsia="zh-CN" w:bidi="ar"/>
              </w:rPr>
              <w:t>cpxR</w:t>
            </w:r>
            <w:r>
              <w:rPr>
                <w:rStyle w:val="13"/>
                <w:lang w:val="en-US" w:eastAsia="zh-CN" w:bidi="ar"/>
              </w:rPr>
              <w:t xml:space="preserve"> double-deleted </w:t>
            </w:r>
            <w:r>
              <w:rPr>
                <w:rStyle w:val="14"/>
                <w:lang w:val="en-US" w:eastAsia="zh-CN" w:bidi="ar"/>
              </w:rPr>
              <w:t>Salmonella enterica</w:t>
            </w:r>
            <w:r>
              <w:rPr>
                <w:rStyle w:val="13"/>
                <w:lang w:val="en-US" w:eastAsia="zh-CN" w:bidi="ar"/>
              </w:rPr>
              <w:t xml:space="preserve"> serovar Typhimurium to colistin.</w:t>
            </w:r>
            <w:r>
              <w:rPr>
                <w:rStyle w:val="13"/>
                <w:b/>
                <w:bCs/>
                <w:lang w:val="en-US" w:eastAsia="zh-CN" w:bidi="ar"/>
              </w:rPr>
              <w:t>《Journal of Antimicrobial Chemotherapy》</w:t>
            </w:r>
            <w:r>
              <w:rPr>
                <w:rStyle w:val="13"/>
                <w:lang w:val="en-US" w:eastAsia="zh-CN" w:bidi="ar"/>
              </w:rPr>
              <w:t>，2018年7月，第一作者，IF5.217；</w:t>
            </w:r>
            <w:r>
              <w:rPr>
                <w:rStyle w:val="13"/>
                <w:lang w:val="en-US" w:eastAsia="zh-CN" w:bidi="ar"/>
              </w:rPr>
              <w:br w:type="textWrapping"/>
            </w:r>
            <w:r>
              <w:rPr>
                <w:rStyle w:val="13"/>
                <w:lang w:val="en-US" w:eastAsia="zh-CN" w:bidi="ar"/>
              </w:rPr>
              <w:t>2. Regulation action of cpxR on the susceptibility of Salmonella enterica serovar Typhimurium to colistin.</w:t>
            </w:r>
            <w:r>
              <w:rPr>
                <w:rStyle w:val="13"/>
                <w:b/>
                <w:bCs/>
                <w:lang w:val="en-US" w:eastAsia="zh-CN" w:bidi="ar"/>
              </w:rPr>
              <w:t>《Journal of Veterinary Pharmacology and Therapeutics》</w:t>
            </w:r>
            <w:r>
              <w:rPr>
                <w:rStyle w:val="13"/>
                <w:lang w:val="en-US" w:eastAsia="zh-CN" w:bidi="ar"/>
              </w:rPr>
              <w:t>，2018年6月，第一作者，IF1.441；</w:t>
            </w:r>
            <w:r>
              <w:rPr>
                <w:rStyle w:val="13"/>
                <w:lang w:val="en-US" w:eastAsia="zh-CN" w:bidi="ar"/>
              </w:rPr>
              <w:br w:type="textWrapping"/>
            </w:r>
            <w:r>
              <w:rPr>
                <w:rStyle w:val="13"/>
                <w:lang w:val="en-US" w:eastAsia="zh-CN" w:bidi="ar"/>
              </w:rPr>
              <w:t xml:space="preserve">3. Identification and prevalence of RND family multidrug efflux pump </w:t>
            </w:r>
            <w:r>
              <w:rPr>
                <w:rStyle w:val="14"/>
                <w:lang w:val="en-US" w:eastAsia="zh-CN" w:bidi="ar"/>
              </w:rPr>
              <w:t>oqx</w:t>
            </w:r>
            <w:r>
              <w:rPr>
                <w:rStyle w:val="13"/>
                <w:lang w:val="en-US" w:eastAsia="zh-CN" w:bidi="ar"/>
              </w:rPr>
              <w:t>AB genes in Enterococci isolates from swine manure in China.</w:t>
            </w:r>
            <w:r>
              <w:rPr>
                <w:rStyle w:val="13"/>
                <w:b/>
                <w:bCs/>
                <w:lang w:val="en-US" w:eastAsia="zh-CN" w:bidi="ar"/>
              </w:rPr>
              <w:t xml:space="preserve"> 《Journal of Medical Microbiology》</w:t>
            </w:r>
            <w:r>
              <w:rPr>
                <w:rStyle w:val="13"/>
                <w:lang w:val="en-US" w:eastAsia="zh-CN" w:bidi="ar"/>
              </w:rPr>
              <w:t>，2018年4月，共同第一作者（排名第二），IF2.122。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Ex>
        <w:trPr>
          <w:trHeight w:val="993" w:hRule="atLeast"/>
        </w:trPr>
        <w:tc>
          <w:tcPr>
            <w:tcW w:w="6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6</w:t>
            </w:r>
          </w:p>
        </w:tc>
        <w:tc>
          <w:tcPr>
            <w:tcW w:w="80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彭永帅</w:t>
            </w:r>
          </w:p>
        </w:tc>
        <w:tc>
          <w:tcPr>
            <w:tcW w:w="9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17103009</w:t>
            </w:r>
          </w:p>
        </w:tc>
        <w:tc>
          <w:tcPr>
            <w:tcW w:w="10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兽医学</w:t>
            </w:r>
          </w:p>
        </w:tc>
        <w:tc>
          <w:tcPr>
            <w:tcW w:w="10446" w:type="dxa"/>
            <w:tcBorders>
              <w:top w:val="single" w:color="000000" w:sz="4" w:space="0"/>
              <w:left w:val="single" w:color="000000" w:sz="4" w:space="0"/>
              <w:bottom w:val="single" w:color="000000" w:sz="4" w:space="0"/>
              <w:right w:val="single" w:color="auto"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lang w:val="en-US" w:eastAsia="zh-CN"/>
              </w:rPr>
            </w:pPr>
            <w:r>
              <w:rPr>
                <w:rFonts w:hint="eastAsia" w:ascii="宋体" w:hAnsi="宋体" w:eastAsia="宋体" w:cs="宋体"/>
                <w:i w:val="0"/>
                <w:color w:val="000000"/>
                <w:kern w:val="0"/>
                <w:sz w:val="20"/>
                <w:szCs w:val="20"/>
                <w:u w:val="none"/>
                <w:lang w:val="en-US" w:eastAsia="zh-CN" w:bidi="ar"/>
              </w:rPr>
              <w:t xml:space="preserve">1.Detection and PhylogeneticCharacterization of Anaplasmacapra: An Emerging Pathogen inSheep and Goats in China. </w:t>
            </w:r>
            <w:r>
              <w:rPr>
                <w:rFonts w:hint="eastAsia" w:ascii="宋体" w:hAnsi="宋体" w:eastAsia="宋体" w:cs="宋体"/>
                <w:b/>
                <w:bCs/>
                <w:i w:val="0"/>
                <w:color w:val="000000"/>
                <w:kern w:val="0"/>
                <w:sz w:val="20"/>
                <w:szCs w:val="20"/>
                <w:u w:val="none"/>
                <w:lang w:val="en-US" w:eastAsia="zh-CN" w:bidi="ar"/>
              </w:rPr>
              <w:t>《Frontiers in Cellular and Infection Microbiology》</w:t>
            </w:r>
            <w:r>
              <w:rPr>
                <w:rFonts w:hint="eastAsia" w:ascii="宋体" w:hAnsi="宋体" w:eastAsia="宋体" w:cs="宋体"/>
                <w:i w:val="0"/>
                <w:color w:val="000000"/>
                <w:kern w:val="0"/>
                <w:sz w:val="20"/>
                <w:szCs w:val="20"/>
                <w:u w:val="none"/>
                <w:lang w:val="en-US" w:eastAsia="zh-CN" w:bidi="ar"/>
              </w:rPr>
              <w:t>,2018年8月，第一作者，IF4。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90" w:hRule="atLeast"/>
        </w:trPr>
        <w:tc>
          <w:tcPr>
            <w:tcW w:w="655" w:type="dxa"/>
            <w:vMerge w:val="restart"/>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w:t>
            </w:r>
          </w:p>
        </w:tc>
        <w:tc>
          <w:tcPr>
            <w:tcW w:w="801" w:type="dxa"/>
            <w:vMerge w:val="restart"/>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杨延涛  </w:t>
            </w:r>
          </w:p>
        </w:tc>
        <w:tc>
          <w:tcPr>
            <w:tcW w:w="917" w:type="dxa"/>
            <w:vMerge w:val="restart"/>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15104003</w:t>
            </w:r>
          </w:p>
        </w:tc>
        <w:tc>
          <w:tcPr>
            <w:tcW w:w="1077" w:type="dxa"/>
            <w:vMerge w:val="restart"/>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农业工程</w:t>
            </w:r>
          </w:p>
        </w:tc>
        <w:tc>
          <w:tcPr>
            <w:tcW w:w="10446" w:type="dxa"/>
            <w:tcBorders>
              <w:top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auto"/>
                <w:kern w:val="0"/>
                <w:sz w:val="20"/>
                <w:szCs w:val="20"/>
                <w:u w:val="none"/>
                <w:lang w:val="en-US" w:eastAsia="zh-CN" w:bidi="ar"/>
              </w:rPr>
              <w:fldChar w:fldCharType="begin"/>
            </w:r>
            <w:r>
              <w:rPr>
                <w:rFonts w:hint="eastAsia" w:ascii="宋体" w:hAnsi="宋体" w:eastAsia="宋体" w:cs="宋体"/>
                <w:i w:val="0"/>
                <w:color w:val="auto"/>
                <w:kern w:val="0"/>
                <w:sz w:val="20"/>
                <w:szCs w:val="20"/>
                <w:u w:val="none"/>
                <w:lang w:val="en-US" w:eastAsia="zh-CN" w:bidi="ar"/>
              </w:rPr>
              <w:instrText xml:space="preserve"> HYPERLINK "https://www.baidu.com/link?url=7WwGZlByu1lbgfYxIF-Iau2YwwdvZEsPMj-GARPFeV5JiQOxM1gmzvmihRxs5Cdj1sAiDJHyT2TYYW707fwGx_&amp;ck=3632.3.109.124.285.432.275.1525&amp;shh=www.baidu.com&amp;sht=58059073_pg&amp;wd=&amp;eqid=bc98ad1900035047000000035ba0c863" \o "" </w:instrText>
            </w:r>
            <w:r>
              <w:rPr>
                <w:rFonts w:hint="eastAsia" w:ascii="宋体" w:hAnsi="宋体" w:eastAsia="宋体" w:cs="宋体"/>
                <w:i w:val="0"/>
                <w:color w:val="auto"/>
                <w:kern w:val="0"/>
                <w:sz w:val="20"/>
                <w:szCs w:val="20"/>
                <w:u w:val="none"/>
                <w:lang w:val="en-US" w:eastAsia="zh-CN" w:bidi="ar"/>
              </w:rPr>
              <w:fldChar w:fldCharType="separate"/>
            </w:r>
            <w:r>
              <w:rPr>
                <w:rStyle w:val="3"/>
                <w:rFonts w:hint="eastAsia" w:ascii="宋体" w:hAnsi="宋体" w:eastAsia="宋体" w:cs="宋体"/>
                <w:i w:val="0"/>
                <w:color w:val="auto"/>
                <w:sz w:val="20"/>
                <w:szCs w:val="20"/>
                <w:u w:val="none"/>
              </w:rPr>
              <w:t>1.Reforming of biomass fuel gas to hydrogen-rich syngas over Ni–Co–Rh/cordierite catalysts.</w:t>
            </w:r>
            <w:r>
              <w:rPr>
                <w:rStyle w:val="3"/>
                <w:rFonts w:hint="eastAsia" w:ascii="宋体" w:hAnsi="宋体" w:eastAsia="宋体" w:cs="宋体"/>
                <w:b/>
                <w:bCs/>
                <w:i w:val="0"/>
                <w:color w:val="auto"/>
                <w:sz w:val="20"/>
                <w:szCs w:val="20"/>
                <w:u w:val="none"/>
              </w:rPr>
              <w:t>《Journal of Biobased Materials and Bioenergy》</w:t>
            </w:r>
            <w:r>
              <w:rPr>
                <w:rStyle w:val="3"/>
                <w:rFonts w:hint="eastAsia" w:ascii="宋体" w:hAnsi="宋体" w:eastAsia="宋体" w:cs="宋体"/>
                <w:i w:val="0"/>
                <w:color w:val="auto"/>
                <w:sz w:val="20"/>
                <w:szCs w:val="20"/>
                <w:u w:val="none"/>
              </w:rPr>
              <w:t>，2018年8月，第一作者，IF2.993</w:t>
            </w:r>
            <w:r>
              <w:rPr>
                <w:rStyle w:val="3"/>
                <w:rFonts w:hint="eastAsia" w:ascii="宋体" w:hAnsi="宋体" w:eastAsia="宋体" w:cs="宋体"/>
                <w:i w:val="0"/>
                <w:color w:val="auto"/>
                <w:sz w:val="20"/>
                <w:szCs w:val="20"/>
                <w:u w:val="none"/>
                <w:lang w:eastAsia="zh-CN"/>
              </w:rPr>
              <w:t>；</w:t>
            </w:r>
            <w:r>
              <w:rPr>
                <w:rFonts w:hint="eastAsia" w:ascii="宋体" w:hAnsi="宋体" w:eastAsia="宋体" w:cs="宋体"/>
                <w:i w:val="0"/>
                <w:color w:val="auto"/>
                <w:kern w:val="0"/>
                <w:sz w:val="20"/>
                <w:szCs w:val="20"/>
                <w:u w:val="none"/>
                <w:lang w:val="en-US" w:eastAsia="zh-CN" w:bidi="ar"/>
              </w:rPr>
              <w:fldChar w:fldCharType="end"/>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Ex>
        <w:trPr>
          <w:trHeight w:val="396" w:hRule="atLeast"/>
        </w:trPr>
        <w:tc>
          <w:tcPr>
            <w:tcW w:w="65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p>
        </w:tc>
        <w:tc>
          <w:tcPr>
            <w:tcW w:w="80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p>
        </w:tc>
        <w:tc>
          <w:tcPr>
            <w:tcW w:w="9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p>
        </w:tc>
        <w:tc>
          <w:tcPr>
            <w:tcW w:w="107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p>
        </w:tc>
        <w:tc>
          <w:tcPr>
            <w:tcW w:w="10446" w:type="dxa"/>
            <w:tcBorders>
              <w:bottom w:val="single" w:color="000000" w:sz="4" w:space="0"/>
              <w:right w:val="single" w:color="auto"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2.生物质裂解气的催化重整调变特性研究.</w:t>
            </w:r>
            <w:r>
              <w:rPr>
                <w:rFonts w:hint="eastAsia" w:ascii="宋体" w:hAnsi="宋体" w:eastAsia="宋体" w:cs="宋体"/>
                <w:b/>
                <w:bCs/>
                <w:i w:val="0"/>
                <w:color w:val="000000"/>
                <w:kern w:val="0"/>
                <w:sz w:val="20"/>
                <w:szCs w:val="20"/>
                <w:u w:val="none"/>
                <w:lang w:val="en-US" w:eastAsia="zh-CN" w:bidi="ar"/>
              </w:rPr>
              <w:t>《河南科学》</w:t>
            </w:r>
            <w:r>
              <w:rPr>
                <w:rFonts w:hint="eastAsia" w:ascii="宋体" w:hAnsi="宋体" w:eastAsia="宋体" w:cs="宋体"/>
                <w:i w:val="0"/>
                <w:color w:val="000000"/>
                <w:kern w:val="0"/>
                <w:sz w:val="20"/>
                <w:szCs w:val="20"/>
                <w:u w:val="none"/>
                <w:lang w:val="en-US" w:eastAsia="zh-CN" w:bidi="ar"/>
              </w:rPr>
              <w:t>，2016年10月，第一作者。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720" w:hRule="atLeast"/>
        </w:trPr>
        <w:tc>
          <w:tcPr>
            <w:tcW w:w="6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w:t>
            </w:r>
          </w:p>
        </w:tc>
        <w:tc>
          <w:tcPr>
            <w:tcW w:w="80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李亚猛  </w:t>
            </w:r>
          </w:p>
        </w:tc>
        <w:tc>
          <w:tcPr>
            <w:tcW w:w="9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16104003</w:t>
            </w:r>
          </w:p>
        </w:tc>
        <w:tc>
          <w:tcPr>
            <w:tcW w:w="10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农业工程</w:t>
            </w:r>
          </w:p>
        </w:tc>
        <w:tc>
          <w:tcPr>
            <w:tcW w:w="10446" w:type="dxa"/>
            <w:tcBorders>
              <w:bottom w:val="single" w:color="000000" w:sz="4" w:space="0"/>
              <w:right w:val="single" w:color="auto"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1.Influences of solid to liquid ratio on bio-hydrogen production from smashed banana by photosynthetic bacteria HAU-M1</w:t>
            </w:r>
            <w:r>
              <w:rPr>
                <w:rFonts w:hint="eastAsia" w:ascii="宋体" w:hAnsi="宋体" w:eastAsia="宋体" w:cs="宋体"/>
                <w:b/>
                <w:bCs/>
                <w:i w:val="0"/>
                <w:color w:val="000000"/>
                <w:kern w:val="0"/>
                <w:sz w:val="20"/>
                <w:szCs w:val="20"/>
                <w:u w:val="none"/>
                <w:lang w:val="en-US" w:eastAsia="zh-CN" w:bidi="ar"/>
              </w:rPr>
              <w:t>《Journal of Biobased Materials and Bioenergy》</w:t>
            </w:r>
            <w:r>
              <w:rPr>
                <w:rFonts w:hint="eastAsia" w:ascii="宋体" w:hAnsi="宋体" w:eastAsia="宋体" w:cs="宋体"/>
                <w:i w:val="0"/>
                <w:color w:val="000000"/>
                <w:kern w:val="0"/>
                <w:sz w:val="20"/>
                <w:szCs w:val="20"/>
                <w:u w:val="none"/>
                <w:lang w:val="en-US" w:eastAsia="zh-CN" w:bidi="ar"/>
              </w:rPr>
              <w:t>，2018年，第一作者，IF2.993。</w:t>
            </w:r>
          </w:p>
        </w:tc>
      </w:tr>
    </w:tbl>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font-weight : 700">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B274922"/>
    <w:rsid w:val="17530CF6"/>
    <w:rsid w:val="1BEF2499"/>
    <w:rsid w:val="3ECC4365"/>
    <w:rsid w:val="40905AA6"/>
    <w:rsid w:val="4A7D601F"/>
    <w:rsid w:val="5EF668D9"/>
    <w:rsid w:val="6AA8623B"/>
    <w:rsid w:val="6B721A91"/>
    <w:rsid w:val="6D2926A2"/>
    <w:rsid w:val="7E6B56D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2">
    <w:name w:val="Default Paragraph Font"/>
    <w:semiHidden/>
    <w:qFormat/>
    <w:uiPriority w:val="0"/>
  </w:style>
  <w:style w:type="table" w:default="1" w:styleId="4">
    <w:name w:val="Normal Table"/>
    <w:semiHidden/>
    <w:qFormat/>
    <w:uiPriority w:val="0"/>
    <w:tblPr>
      <w:tblLayout w:type="fixed"/>
      <w:tblCellMar>
        <w:top w:w="0" w:type="dxa"/>
        <w:left w:w="108" w:type="dxa"/>
        <w:bottom w:w="0" w:type="dxa"/>
        <w:right w:w="108" w:type="dxa"/>
      </w:tblCellMar>
    </w:tblPr>
  </w:style>
  <w:style w:type="character" w:styleId="3">
    <w:name w:val="Hyperlink"/>
    <w:basedOn w:val="2"/>
    <w:qFormat/>
    <w:uiPriority w:val="0"/>
    <w:rPr>
      <w:color w:val="0000FF"/>
      <w:u w:val="single"/>
    </w:rPr>
  </w:style>
  <w:style w:type="character" w:customStyle="1" w:styleId="5">
    <w:name w:val="font71"/>
    <w:basedOn w:val="2"/>
    <w:qFormat/>
    <w:uiPriority w:val="0"/>
    <w:rPr>
      <w:rFonts w:hint="eastAsia" w:ascii="宋体" w:hAnsi="宋体" w:eastAsia="宋体" w:cs="宋体"/>
      <w:color w:val="000000"/>
      <w:sz w:val="24"/>
      <w:szCs w:val="24"/>
      <w:u w:val="none"/>
    </w:rPr>
  </w:style>
  <w:style w:type="character" w:customStyle="1" w:styleId="6">
    <w:name w:val="font51"/>
    <w:basedOn w:val="2"/>
    <w:qFormat/>
    <w:uiPriority w:val="0"/>
    <w:rPr>
      <w:rFonts w:hint="eastAsia" w:ascii="宋体" w:hAnsi="宋体" w:eastAsia="宋体" w:cs="宋体"/>
      <w:color w:val="000000"/>
      <w:sz w:val="20"/>
      <w:szCs w:val="20"/>
      <w:u w:val="none"/>
    </w:rPr>
  </w:style>
  <w:style w:type="character" w:customStyle="1" w:styleId="7">
    <w:name w:val="font171"/>
    <w:basedOn w:val="2"/>
    <w:qFormat/>
    <w:uiPriority w:val="0"/>
    <w:rPr>
      <w:rFonts w:hint="eastAsia" w:ascii="宋体" w:hAnsi="宋体" w:eastAsia="宋体" w:cs="宋体"/>
      <w:b/>
      <w:i/>
      <w:color w:val="FF0000"/>
      <w:sz w:val="20"/>
      <w:szCs w:val="20"/>
      <w:u w:val="none"/>
    </w:rPr>
  </w:style>
  <w:style w:type="character" w:customStyle="1" w:styleId="8">
    <w:name w:val="font61"/>
    <w:basedOn w:val="2"/>
    <w:qFormat/>
    <w:uiPriority w:val="0"/>
    <w:rPr>
      <w:rFonts w:hint="default" w:ascii="Times New Roman" w:hAnsi="Times New Roman" w:cs="Times New Roman"/>
      <w:color w:val="000000"/>
      <w:sz w:val="20"/>
      <w:szCs w:val="20"/>
      <w:u w:val="none"/>
    </w:rPr>
  </w:style>
  <w:style w:type="character" w:customStyle="1" w:styleId="9">
    <w:name w:val="font181"/>
    <w:basedOn w:val="2"/>
    <w:qFormat/>
    <w:uiPriority w:val="0"/>
    <w:rPr>
      <w:rFonts w:ascii="font-weight : 700" w:hAnsi="font-weight : 700" w:eastAsia="font-weight : 700" w:cs="font-weight : 700"/>
      <w:i/>
      <w:color w:val="FF0000"/>
      <w:sz w:val="20"/>
      <w:szCs w:val="20"/>
      <w:u w:val="none"/>
    </w:rPr>
  </w:style>
  <w:style w:type="character" w:customStyle="1" w:styleId="10">
    <w:name w:val="font81"/>
    <w:basedOn w:val="2"/>
    <w:qFormat/>
    <w:uiPriority w:val="0"/>
    <w:rPr>
      <w:rFonts w:hint="eastAsia" w:ascii="宋体" w:hAnsi="宋体" w:eastAsia="宋体" w:cs="宋体"/>
      <w:i/>
      <w:color w:val="000000"/>
      <w:sz w:val="20"/>
      <w:szCs w:val="20"/>
      <w:u w:val="none"/>
    </w:rPr>
  </w:style>
  <w:style w:type="character" w:customStyle="1" w:styleId="11">
    <w:name w:val="font31"/>
    <w:basedOn w:val="2"/>
    <w:qFormat/>
    <w:uiPriority w:val="0"/>
    <w:rPr>
      <w:rFonts w:hint="eastAsia" w:ascii="宋体" w:hAnsi="宋体" w:eastAsia="宋体" w:cs="宋体"/>
      <w:b/>
      <w:color w:val="FF0000"/>
      <w:sz w:val="20"/>
      <w:szCs w:val="20"/>
      <w:u w:val="none"/>
    </w:rPr>
  </w:style>
  <w:style w:type="character" w:customStyle="1" w:styleId="12">
    <w:name w:val="font121"/>
    <w:basedOn w:val="2"/>
    <w:qFormat/>
    <w:uiPriority w:val="0"/>
    <w:rPr>
      <w:rFonts w:hint="eastAsia" w:ascii="宋体" w:hAnsi="宋体" w:eastAsia="宋体" w:cs="宋体"/>
      <w:color w:val="000000"/>
      <w:sz w:val="20"/>
      <w:szCs w:val="20"/>
      <w:u w:val="none"/>
    </w:rPr>
  </w:style>
  <w:style w:type="character" w:customStyle="1" w:styleId="13">
    <w:name w:val="font151"/>
    <w:basedOn w:val="2"/>
    <w:qFormat/>
    <w:uiPriority w:val="0"/>
    <w:rPr>
      <w:rFonts w:hint="eastAsia" w:ascii="宋体" w:hAnsi="宋体" w:eastAsia="宋体" w:cs="宋体"/>
      <w:color w:val="000000"/>
      <w:sz w:val="20"/>
      <w:szCs w:val="20"/>
      <w:u w:val="none"/>
    </w:rPr>
  </w:style>
  <w:style w:type="character" w:customStyle="1" w:styleId="14">
    <w:name w:val="font101"/>
    <w:basedOn w:val="2"/>
    <w:qFormat/>
    <w:uiPriority w:val="0"/>
    <w:rPr>
      <w:rFonts w:hint="eastAsia" w:ascii="宋体" w:hAnsi="宋体" w:eastAsia="宋体" w:cs="宋体"/>
      <w:i/>
      <w:color w:val="000000"/>
      <w:sz w:val="20"/>
      <w:szCs w:val="20"/>
      <w:u w:val="none"/>
    </w:rPr>
  </w:style>
  <w:style w:type="character" w:customStyle="1" w:styleId="15">
    <w:name w:val="font91"/>
    <w:basedOn w:val="2"/>
    <w:qFormat/>
    <w:uiPriority w:val="0"/>
    <w:rPr>
      <w:rFonts w:hint="default" w:ascii="Times New Roman" w:hAnsi="Times New Roman" w:cs="Times New Roman"/>
      <w:color w:val="000000"/>
      <w:sz w:val="20"/>
      <w:szCs w:val="20"/>
      <w:u w:val="non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3</TotalTime>
  <ScaleCrop>false</ScaleCrop>
  <LinksUpToDate>false</LinksUpToDate>
  <CharactersWithSpaces>0</CharactersWithSpaces>
  <Application>WPS Office_10.1.0.7520_F1E327BC-269C-435d-A152-05C5408002CA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cheny</dc:creator>
  <cp:lastModifiedBy>Administrator</cp:lastModifiedBy>
  <cp:lastPrinted>2018-09-29T09:04:00Z</cp:lastPrinted>
  <dcterms:modified xsi:type="dcterms:W3CDTF">2018-09-30T08:14:54Z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2052-10.1.0.7520</vt:lpwstr>
  </property>
</Properties>
</file>